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35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200"/>
      </w:tblGrid>
      <w:tr w:rsidR="0056187C" w14:paraId="5571C8B4" w14:textId="77777777" w:rsidTr="0056187C">
        <w:trPr>
          <w:trHeight w:hRule="exact" w:val="14126"/>
          <w:tblHeader/>
        </w:trPr>
        <w:tc>
          <w:tcPr>
            <w:tcW w:w="7201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5F77F4A4" w14:textId="77777777" w:rsidR="0056187C" w:rsidRDefault="0056187C" w:rsidP="0056187C">
            <w:pPr>
              <w:pStyle w:val="Title"/>
              <w:ind w:left="0"/>
              <w:rPr>
                <w:color w:val="auto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65408" behindDoc="1" locked="0" layoutInCell="1" allowOverlap="1" wp14:anchorId="0553824A" wp14:editId="6FB9F85E">
                  <wp:simplePos x="0" y="0"/>
                  <wp:positionH relativeFrom="column">
                    <wp:posOffset>-401955</wp:posOffset>
                  </wp:positionH>
                  <wp:positionV relativeFrom="page">
                    <wp:posOffset>-142875</wp:posOffset>
                  </wp:positionV>
                  <wp:extent cx="1143635" cy="1134110"/>
                  <wp:effectExtent l="0" t="0" r="0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6FD7">
              <w:rPr>
                <w:color w:val="auto"/>
                <w:sz w:val="144"/>
                <w:szCs w:val="144"/>
              </w:rPr>
              <w:t xml:space="preserve">We are hiring! </w:t>
            </w:r>
          </w:p>
          <w:p w14:paraId="17F12D12" w14:textId="57101A10" w:rsidR="0056187C" w:rsidRPr="00F96FDB" w:rsidRDefault="0056187C" w:rsidP="0056187C">
            <w:pPr>
              <w:rPr>
                <w:sz w:val="22"/>
                <w:szCs w:val="22"/>
              </w:rPr>
            </w:pPr>
            <w:r w:rsidRPr="00F96FDB">
              <w:rPr>
                <w:sz w:val="22"/>
                <w:szCs w:val="22"/>
              </w:rPr>
              <w:t xml:space="preserve">Final Filing Date:  </w:t>
            </w:r>
            <w:r w:rsidR="00846F48">
              <w:rPr>
                <w:sz w:val="22"/>
                <w:szCs w:val="22"/>
              </w:rPr>
              <w:t>October 05</w:t>
            </w:r>
            <w:r w:rsidRPr="00F96FDB">
              <w:rPr>
                <w:sz w:val="22"/>
                <w:szCs w:val="22"/>
              </w:rPr>
              <w:t>, 2024</w:t>
            </w:r>
          </w:p>
          <w:p w14:paraId="1A5AB7D3" w14:textId="77777777" w:rsidR="0056187C" w:rsidRDefault="0056187C" w:rsidP="0056187C">
            <w:pPr>
              <w:pStyle w:val="EventInfo"/>
              <w:rPr>
                <w:sz w:val="36"/>
                <w:szCs w:val="36"/>
              </w:rPr>
            </w:pPr>
          </w:p>
          <w:p w14:paraId="254ADA8B" w14:textId="77777777" w:rsidR="0056187C" w:rsidRPr="00DF156D" w:rsidRDefault="0056187C" w:rsidP="0056187C">
            <w:pPr>
              <w:pStyle w:val="EventInfo"/>
              <w:rPr>
                <w:sz w:val="38"/>
                <w:szCs w:val="38"/>
              </w:rPr>
            </w:pPr>
            <w:r w:rsidRPr="00DF156D">
              <w:rPr>
                <w:sz w:val="38"/>
                <w:szCs w:val="38"/>
              </w:rPr>
              <w:t>The Superior Court of California, County of Yuba is currently hiring Court</w:t>
            </w:r>
            <w:r>
              <w:rPr>
                <w:sz w:val="38"/>
                <w:szCs w:val="38"/>
              </w:rPr>
              <w:t xml:space="preserve"> CLERK I/II</w:t>
            </w:r>
            <w:r w:rsidRPr="00DF156D">
              <w:rPr>
                <w:sz w:val="38"/>
                <w:szCs w:val="38"/>
              </w:rPr>
              <w:t xml:space="preserve">! </w:t>
            </w:r>
          </w:p>
          <w:p w14:paraId="43AEC583" w14:textId="77777777" w:rsidR="0056187C" w:rsidRPr="00DF156D" w:rsidRDefault="0056187C" w:rsidP="0056187C">
            <w:pPr>
              <w:pStyle w:val="EventInfo"/>
              <w:jc w:val="center"/>
              <w:rPr>
                <w:sz w:val="38"/>
                <w:szCs w:val="38"/>
              </w:rPr>
            </w:pPr>
            <w:r w:rsidRPr="00DF156D">
              <w:rPr>
                <w:sz w:val="38"/>
                <w:szCs w:val="38"/>
              </w:rPr>
              <w:t>Come join our Team!</w:t>
            </w:r>
          </w:p>
          <w:p w14:paraId="22DC0337" w14:textId="77777777" w:rsidR="0056187C" w:rsidRPr="005E47E1" w:rsidRDefault="0056187C" w:rsidP="0056187C">
            <w:pPr>
              <w:pStyle w:val="EventHeading"/>
              <w:rPr>
                <w:color w:val="00B0F0"/>
              </w:rPr>
            </w:pPr>
            <w:r>
              <w:rPr>
                <w:color w:val="00B0F0"/>
              </w:rPr>
              <w:t xml:space="preserve">Court Clerk I/II – </w:t>
            </w:r>
            <w:r>
              <w:rPr>
                <w:color w:val="92D050"/>
                <w:sz w:val="32"/>
                <w:szCs w:val="32"/>
              </w:rPr>
              <w:t>Full-time</w:t>
            </w:r>
            <w:r w:rsidRPr="003309D9">
              <w:rPr>
                <w:color w:val="92D050"/>
                <w:sz w:val="32"/>
                <w:szCs w:val="32"/>
              </w:rPr>
              <w:t xml:space="preserve"> </w:t>
            </w:r>
            <w:r>
              <w:rPr>
                <w:color w:val="92D050"/>
                <w:sz w:val="32"/>
                <w:szCs w:val="32"/>
              </w:rPr>
              <w:t>positions and waiting list potential</w:t>
            </w:r>
          </w:p>
          <w:p w14:paraId="6D74198A" w14:textId="2F38E324" w:rsidR="0056187C" w:rsidRDefault="0056187C" w:rsidP="00DD74A2">
            <w:pPr>
              <w:pStyle w:val="EventInf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Starting Salary: $39,564</w:t>
            </w:r>
            <w:r w:rsidR="00DD74A2">
              <w:rPr>
                <w:sz w:val="44"/>
                <w:szCs w:val="44"/>
              </w:rPr>
              <w:t>/$43,560</w:t>
            </w:r>
            <w:r>
              <w:rPr>
                <w:sz w:val="44"/>
                <w:szCs w:val="44"/>
              </w:rPr>
              <w:t xml:space="preserve"> per year with benefits, plus </w:t>
            </w:r>
            <w:r w:rsidRPr="00AA4917">
              <w:rPr>
                <w:color w:val="92D050"/>
                <w:sz w:val="36"/>
                <w:szCs w:val="36"/>
              </w:rPr>
              <w:t>Education Differential, Bilingual Pay, and flexible schedule.</w:t>
            </w:r>
          </w:p>
          <w:p w14:paraId="1A04A4B1" w14:textId="77777777" w:rsidR="0056187C" w:rsidRDefault="0056187C" w:rsidP="0056187C">
            <w:pPr>
              <w:pStyle w:val="EventInfo"/>
              <w:shd w:val="clear" w:color="auto" w:fill="FFFFFF" w:themeFill="background1"/>
              <w:rPr>
                <w:color w:val="303030" w:themeColor="text2" w:themeTint="E6"/>
                <w:sz w:val="32"/>
                <w:szCs w:val="32"/>
              </w:rPr>
            </w:pPr>
          </w:p>
          <w:p w14:paraId="3F2EE0F5" w14:textId="77777777" w:rsidR="0056187C" w:rsidRPr="00DF156D" w:rsidRDefault="0056187C" w:rsidP="0056187C">
            <w:pPr>
              <w:pStyle w:val="EventInfo"/>
              <w:shd w:val="clear" w:color="auto" w:fill="FFFFFF" w:themeFill="background1"/>
              <w:rPr>
                <w:color w:val="303030" w:themeColor="text2" w:themeTint="E6"/>
                <w:sz w:val="38"/>
                <w:szCs w:val="38"/>
              </w:rPr>
            </w:pPr>
            <w:r w:rsidRPr="00DF156D">
              <w:rPr>
                <w:color w:val="303030" w:themeColor="text2" w:themeTint="E6"/>
                <w:sz w:val="38"/>
                <w:szCs w:val="38"/>
              </w:rPr>
              <w:t>For more information contact:</w:t>
            </w:r>
          </w:p>
          <w:p w14:paraId="0478FBDD" w14:textId="77777777" w:rsidR="0056187C" w:rsidRPr="00DF156D" w:rsidRDefault="0056187C" w:rsidP="0056187C">
            <w:pPr>
              <w:pStyle w:val="EventInfo"/>
              <w:shd w:val="clear" w:color="auto" w:fill="FFFFFF" w:themeFill="background1"/>
              <w:rPr>
                <w:color w:val="00B0F0"/>
                <w:sz w:val="38"/>
                <w:szCs w:val="38"/>
              </w:rPr>
            </w:pPr>
            <w:r w:rsidRPr="00DF156D">
              <w:rPr>
                <w:color w:val="00B0F0"/>
                <w:sz w:val="38"/>
                <w:szCs w:val="38"/>
              </w:rPr>
              <w:t xml:space="preserve">Human Resources Dept. at (530) 740-1870 </w:t>
            </w:r>
          </w:p>
          <w:p w14:paraId="3BC69199" w14:textId="363DC091" w:rsidR="0056187C" w:rsidRDefault="0056187C" w:rsidP="0056187C">
            <w:pPr>
              <w:pStyle w:val="EventHeading"/>
              <w:jc w:val="center"/>
            </w:pPr>
            <w:r w:rsidRPr="00CA10E8">
              <w:rPr>
                <w:color w:val="92D050"/>
                <w:sz w:val="32"/>
                <w:szCs w:val="32"/>
              </w:rPr>
              <w:t>To ap</w:t>
            </w:r>
            <w:r>
              <w:rPr>
                <w:color w:val="92D050"/>
                <w:sz w:val="32"/>
                <w:szCs w:val="32"/>
              </w:rPr>
              <w:t>p</w:t>
            </w:r>
            <w:r w:rsidRPr="00CA10E8">
              <w:rPr>
                <w:color w:val="92D050"/>
                <w:sz w:val="32"/>
                <w:szCs w:val="32"/>
              </w:rPr>
              <w:t xml:space="preserve">ly: </w:t>
            </w:r>
            <w:r>
              <w:rPr>
                <w:color w:val="303030" w:themeColor="text2" w:themeTint="E6"/>
                <w:sz w:val="32"/>
                <w:szCs w:val="32"/>
              </w:rPr>
              <w:t xml:space="preserve"> A</w:t>
            </w:r>
            <w:r w:rsidRPr="00DF156D">
              <w:rPr>
                <w:color w:val="303030" w:themeColor="text2" w:themeTint="E6"/>
                <w:sz w:val="32"/>
                <w:szCs w:val="32"/>
              </w:rPr>
              <w:t xml:space="preserve">pplications are available at </w:t>
            </w:r>
            <w:hyperlink r:id="rId11" w:history="1">
              <w:r w:rsidRPr="00DF156D">
                <w:rPr>
                  <w:rStyle w:val="Hyperlink"/>
                  <w:color w:val="00B0F0"/>
                  <w:sz w:val="32"/>
                  <w:szCs w:val="32"/>
                </w:rPr>
                <w:t>www.yuba.courts.ca.gov</w:t>
              </w:r>
            </w:hyperlink>
            <w:r w:rsidRPr="00AA4917">
              <w:rPr>
                <w:color w:val="404040" w:themeColor="text1" w:themeTint="BF"/>
                <w:sz w:val="32"/>
                <w:szCs w:val="32"/>
              </w:rPr>
              <w:t>:</w:t>
            </w:r>
            <w:r>
              <w:rPr>
                <w:color w:val="404040" w:themeColor="text1" w:themeTint="BF"/>
                <w:sz w:val="32"/>
                <w:szCs w:val="32"/>
              </w:rPr>
              <w:t xml:space="preserve">                             </w:t>
            </w:r>
            <w:r w:rsidRPr="00AA4917">
              <w:rPr>
                <w:color w:val="404040" w:themeColor="text1" w:themeTint="BF"/>
                <w:sz w:val="32"/>
                <w:szCs w:val="32"/>
              </w:rPr>
              <w:t xml:space="preserve">         </w:t>
            </w:r>
            <w:r>
              <w:rPr>
                <w:color w:val="404040" w:themeColor="text1" w:themeTint="BF"/>
                <w:sz w:val="32"/>
                <w:szCs w:val="32"/>
              </w:rPr>
              <w:t xml:space="preserve">               </w:t>
            </w:r>
            <w:r w:rsidRPr="00DF156D">
              <w:rPr>
                <w:color w:val="303030" w:themeColor="text2" w:themeTint="E6"/>
                <w:sz w:val="32"/>
                <w:szCs w:val="32"/>
              </w:rPr>
              <w:t>Human Resources Division                                                    Superior Court of California, County of Yuba</w:t>
            </w:r>
            <w:r>
              <w:rPr>
                <w:color w:val="303030" w:themeColor="text2" w:themeTint="E6"/>
                <w:sz w:val="32"/>
                <w:szCs w:val="32"/>
              </w:rPr>
              <w:t xml:space="preserve"> </w:t>
            </w:r>
            <w:hyperlink r:id="rId12" w:history="1">
              <w:r w:rsidRPr="00AD2626">
                <w:rPr>
                  <w:rStyle w:val="Hyperlink"/>
                  <w:sz w:val="32"/>
                  <w:szCs w:val="32"/>
                </w:rPr>
                <w:t>CourtHR@yuba.courts.ca.gov</w:t>
              </w:r>
            </w:hyperlink>
            <w:r>
              <w:rPr>
                <w:color w:val="303030" w:themeColor="text2" w:themeTint="E6"/>
                <w:sz w:val="32"/>
                <w:szCs w:val="32"/>
              </w:rPr>
              <w:t xml:space="preserve">                                         </w:t>
            </w:r>
            <w:r w:rsidRPr="00DF156D">
              <w:rPr>
                <w:color w:val="303030" w:themeColor="text2" w:themeTint="E6"/>
                <w:sz w:val="32"/>
                <w:szCs w:val="32"/>
              </w:rPr>
              <w:t>215 Fifth Street, Ste. 200                                                                                 Marysville, CA 95901</w:t>
            </w:r>
          </w:p>
        </w:tc>
      </w:tr>
    </w:tbl>
    <w:p w14:paraId="6502A93F" w14:textId="77777777" w:rsidR="0056187C" w:rsidRDefault="0056187C" w:rsidP="004051FA">
      <w:pPr>
        <w:pStyle w:val="NoSpacing"/>
      </w:pPr>
    </w:p>
    <w:p w14:paraId="2E1C4AFB" w14:textId="77777777" w:rsidR="0056187C" w:rsidRPr="005E47E1" w:rsidRDefault="0056187C" w:rsidP="0056187C">
      <w:pPr>
        <w:pStyle w:val="EventSubhead"/>
        <w:rPr>
          <w:color w:val="92D050"/>
        </w:rPr>
      </w:pPr>
      <w:r w:rsidRPr="005E47E1">
        <w:rPr>
          <w:color w:val="92D050"/>
        </w:rPr>
        <w:t>Benefits include:</w:t>
      </w:r>
    </w:p>
    <w:p w14:paraId="0E7539EE" w14:textId="77777777" w:rsidR="0056187C" w:rsidRDefault="0056187C" w:rsidP="0056187C"/>
    <w:p w14:paraId="423C2286" w14:textId="77777777" w:rsidR="0056187C" w:rsidRDefault="0056187C" w:rsidP="0056187C">
      <w:pPr>
        <w:rPr>
          <w:rFonts w:ascii="Arial" w:hAnsi="Arial" w:cs="Arial"/>
          <w:sz w:val="20"/>
          <w:szCs w:val="20"/>
        </w:rPr>
      </w:pPr>
      <w:r w:rsidRPr="00A860DE">
        <w:rPr>
          <w:rFonts w:ascii="Arial" w:hAnsi="Arial" w:cs="Arial"/>
          <w:b/>
          <w:sz w:val="20"/>
          <w:szCs w:val="20"/>
        </w:rPr>
        <w:t>Vacation</w:t>
      </w:r>
      <w:r w:rsidRPr="00555DC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Accruals start at 12 days a year, increasing to 27 days per year.</w:t>
      </w:r>
    </w:p>
    <w:p w14:paraId="180537F6" w14:textId="77777777" w:rsidR="0056187C" w:rsidRDefault="0056187C" w:rsidP="0056187C">
      <w:pPr>
        <w:rPr>
          <w:rFonts w:ascii="Arial" w:hAnsi="Arial" w:cs="Arial"/>
          <w:sz w:val="20"/>
          <w:szCs w:val="20"/>
        </w:rPr>
      </w:pPr>
    </w:p>
    <w:p w14:paraId="1B40A492" w14:textId="77777777" w:rsidR="0056187C" w:rsidRDefault="0056187C" w:rsidP="0056187C">
      <w:pPr>
        <w:rPr>
          <w:rFonts w:ascii="Arial" w:hAnsi="Arial" w:cs="Arial"/>
          <w:sz w:val="20"/>
          <w:szCs w:val="20"/>
        </w:rPr>
      </w:pPr>
      <w:r w:rsidRPr="00555DC9">
        <w:rPr>
          <w:rFonts w:ascii="Arial" w:hAnsi="Arial" w:cs="Arial"/>
          <w:b/>
          <w:sz w:val="20"/>
          <w:szCs w:val="20"/>
        </w:rPr>
        <w:t xml:space="preserve">Holiday: </w:t>
      </w:r>
      <w:r>
        <w:rPr>
          <w:rFonts w:ascii="Arial" w:hAnsi="Arial" w:cs="Arial"/>
          <w:sz w:val="20"/>
          <w:szCs w:val="20"/>
        </w:rPr>
        <w:t>17 paid holidays per year, 3 of which are floating holidays.</w:t>
      </w:r>
    </w:p>
    <w:p w14:paraId="19F64477" w14:textId="77777777" w:rsidR="0056187C" w:rsidRDefault="0056187C" w:rsidP="0056187C">
      <w:pPr>
        <w:rPr>
          <w:rFonts w:ascii="Arial" w:hAnsi="Arial" w:cs="Arial"/>
          <w:sz w:val="20"/>
          <w:szCs w:val="20"/>
        </w:rPr>
      </w:pPr>
    </w:p>
    <w:p w14:paraId="17AD5164" w14:textId="77777777" w:rsidR="0056187C" w:rsidRDefault="0056187C" w:rsidP="0056187C">
      <w:pPr>
        <w:rPr>
          <w:rFonts w:ascii="Arial" w:hAnsi="Arial" w:cs="Arial"/>
          <w:sz w:val="20"/>
          <w:szCs w:val="20"/>
        </w:rPr>
      </w:pPr>
      <w:r w:rsidRPr="00A860DE">
        <w:rPr>
          <w:rFonts w:ascii="Arial" w:hAnsi="Arial" w:cs="Arial"/>
          <w:b/>
          <w:sz w:val="20"/>
          <w:szCs w:val="20"/>
        </w:rPr>
        <w:t xml:space="preserve">Sick Leave: </w:t>
      </w:r>
      <w:r>
        <w:rPr>
          <w:rFonts w:ascii="Arial" w:hAnsi="Arial" w:cs="Arial"/>
          <w:sz w:val="20"/>
          <w:szCs w:val="20"/>
        </w:rPr>
        <w:t>Accrue 12 days per year.</w:t>
      </w:r>
    </w:p>
    <w:p w14:paraId="6F1819BB" w14:textId="77777777" w:rsidR="0056187C" w:rsidRDefault="0056187C" w:rsidP="0056187C">
      <w:pPr>
        <w:rPr>
          <w:rFonts w:ascii="Arial" w:hAnsi="Arial" w:cs="Arial"/>
          <w:sz w:val="20"/>
          <w:szCs w:val="20"/>
        </w:rPr>
      </w:pPr>
    </w:p>
    <w:p w14:paraId="0AA001D0" w14:textId="77777777" w:rsidR="0056187C" w:rsidRDefault="0056187C" w:rsidP="0056187C">
      <w:pPr>
        <w:rPr>
          <w:rFonts w:ascii="Arial" w:hAnsi="Arial" w:cs="Arial"/>
          <w:sz w:val="20"/>
          <w:szCs w:val="20"/>
        </w:rPr>
      </w:pPr>
      <w:r w:rsidRPr="00411CC8">
        <w:rPr>
          <w:rFonts w:ascii="Arial" w:hAnsi="Arial" w:cs="Arial"/>
          <w:b/>
          <w:sz w:val="20"/>
          <w:szCs w:val="20"/>
        </w:rPr>
        <w:t>Health Benefits: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Medical, dental, and vision insurance is offered for employees and their eligible dependents. Choose from various plans, with the court covering up to 100% of costs for some options and 80% on others.</w:t>
      </w:r>
    </w:p>
    <w:p w14:paraId="37724B2D" w14:textId="77777777" w:rsidR="0056187C" w:rsidRDefault="0056187C" w:rsidP="0056187C">
      <w:pPr>
        <w:rPr>
          <w:rFonts w:ascii="Arial" w:hAnsi="Arial" w:cs="Arial"/>
          <w:sz w:val="20"/>
          <w:szCs w:val="20"/>
        </w:rPr>
      </w:pPr>
    </w:p>
    <w:p w14:paraId="36BAC32F" w14:textId="77777777" w:rsidR="0056187C" w:rsidRPr="00017CA1" w:rsidRDefault="0056187C" w:rsidP="00561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CalPERS Retirement Lifetime Health Insurance: </w:t>
      </w:r>
      <w:r>
        <w:rPr>
          <w:rFonts w:ascii="Arial" w:hAnsi="Arial" w:cs="Arial"/>
          <w:sz w:val="20"/>
          <w:szCs w:val="20"/>
        </w:rPr>
        <w:t>After ten (10) years of service credit.</w:t>
      </w:r>
    </w:p>
    <w:p w14:paraId="35DEA0A4" w14:textId="77777777" w:rsidR="0056187C" w:rsidRDefault="0056187C" w:rsidP="0056187C">
      <w:pPr>
        <w:rPr>
          <w:rFonts w:ascii="Arial" w:hAnsi="Arial" w:cs="Arial"/>
          <w:sz w:val="20"/>
          <w:szCs w:val="20"/>
        </w:rPr>
      </w:pPr>
    </w:p>
    <w:p w14:paraId="38C580C1" w14:textId="77777777" w:rsidR="0056187C" w:rsidRDefault="0056187C" w:rsidP="00561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Retirement Pension: </w:t>
      </w:r>
      <w:r>
        <w:rPr>
          <w:rFonts w:ascii="Arial" w:hAnsi="Arial" w:cs="Arial"/>
          <w:sz w:val="20"/>
          <w:szCs w:val="20"/>
        </w:rPr>
        <w:t>Employees are members of the California Public Employees Retirement System (CalPERS).</w:t>
      </w:r>
    </w:p>
    <w:p w14:paraId="0BE94967" w14:textId="77777777" w:rsidR="0056187C" w:rsidRDefault="0056187C" w:rsidP="0056187C">
      <w:pPr>
        <w:rPr>
          <w:rFonts w:ascii="Arial" w:hAnsi="Arial" w:cs="Arial"/>
          <w:sz w:val="20"/>
          <w:szCs w:val="20"/>
        </w:rPr>
      </w:pPr>
    </w:p>
    <w:p w14:paraId="0FB1AD5E" w14:textId="77777777" w:rsidR="0056187C" w:rsidRDefault="0056187C" w:rsidP="00561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Employee Assistance Program: </w:t>
      </w:r>
      <w:r>
        <w:rPr>
          <w:rFonts w:ascii="Arial" w:hAnsi="Arial" w:cs="Arial"/>
          <w:sz w:val="20"/>
          <w:szCs w:val="20"/>
        </w:rPr>
        <w:t>Employees and members in their household may use this program, which is available 24/7 at no cost to the employee. Services are completely confidential.</w:t>
      </w:r>
    </w:p>
    <w:p w14:paraId="2E54A46D" w14:textId="77777777" w:rsidR="0056187C" w:rsidRDefault="0056187C" w:rsidP="0056187C">
      <w:pPr>
        <w:rPr>
          <w:rFonts w:ascii="Arial" w:hAnsi="Arial" w:cs="Arial"/>
          <w:sz w:val="20"/>
          <w:szCs w:val="20"/>
        </w:rPr>
      </w:pPr>
    </w:p>
    <w:p w14:paraId="0034A2B2" w14:textId="77777777" w:rsidR="0056187C" w:rsidRDefault="0056187C" w:rsidP="00561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Deferred Compensation: </w:t>
      </w:r>
      <w:r w:rsidRPr="003E6664">
        <w:rPr>
          <w:rFonts w:ascii="Arial" w:hAnsi="Arial" w:cs="Arial"/>
          <w:sz w:val="20"/>
          <w:szCs w:val="20"/>
        </w:rPr>
        <w:t>The Court offers two (2)</w:t>
      </w:r>
      <w:r>
        <w:rPr>
          <w:rFonts w:ascii="Arial" w:hAnsi="Arial" w:cs="Arial"/>
          <w:sz w:val="20"/>
          <w:szCs w:val="20"/>
        </w:rPr>
        <w:t xml:space="preserve"> deferred compensation plans for employees who wish to participate through payroll deduction.</w:t>
      </w:r>
    </w:p>
    <w:p w14:paraId="092D85E0" w14:textId="7CE47FAA" w:rsidR="00772F94" w:rsidRPr="004051FA" w:rsidRDefault="0056187C" w:rsidP="004051FA">
      <w:pPr>
        <w:pStyle w:val="NoSpacing"/>
      </w:pPr>
      <w:r>
        <w:br w:type="textWrapping" w:clear="all"/>
        <w:t xml:space="preserve"> </w:t>
      </w: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7B58" w14:textId="77777777" w:rsidR="0056187C" w:rsidRDefault="0056187C">
      <w:pPr>
        <w:spacing w:line="240" w:lineRule="auto"/>
      </w:pPr>
      <w:r>
        <w:separator/>
      </w:r>
    </w:p>
  </w:endnote>
  <w:endnote w:type="continuationSeparator" w:id="0">
    <w:p w14:paraId="56E46953" w14:textId="77777777" w:rsidR="0056187C" w:rsidRDefault="00561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85BE" w14:textId="77777777" w:rsidR="0056187C" w:rsidRDefault="0056187C">
      <w:pPr>
        <w:spacing w:line="240" w:lineRule="auto"/>
      </w:pPr>
      <w:r>
        <w:separator/>
      </w:r>
    </w:p>
  </w:footnote>
  <w:footnote w:type="continuationSeparator" w:id="0">
    <w:p w14:paraId="364C388C" w14:textId="77777777" w:rsidR="0056187C" w:rsidRDefault="005618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2294422">
    <w:abstractNumId w:val="9"/>
  </w:num>
  <w:num w:numId="2" w16cid:durableId="2056801">
    <w:abstractNumId w:val="7"/>
  </w:num>
  <w:num w:numId="3" w16cid:durableId="1163278677">
    <w:abstractNumId w:val="6"/>
  </w:num>
  <w:num w:numId="4" w16cid:durableId="1440221343">
    <w:abstractNumId w:val="5"/>
  </w:num>
  <w:num w:numId="5" w16cid:durableId="126360971">
    <w:abstractNumId w:val="4"/>
  </w:num>
  <w:num w:numId="6" w16cid:durableId="575628684">
    <w:abstractNumId w:val="8"/>
  </w:num>
  <w:num w:numId="7" w16cid:durableId="987788651">
    <w:abstractNumId w:val="3"/>
  </w:num>
  <w:num w:numId="8" w16cid:durableId="2001424694">
    <w:abstractNumId w:val="2"/>
  </w:num>
  <w:num w:numId="9" w16cid:durableId="936984337">
    <w:abstractNumId w:val="1"/>
  </w:num>
  <w:num w:numId="10" w16cid:durableId="52012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7C"/>
    <w:rsid w:val="0003525F"/>
    <w:rsid w:val="000E73B3"/>
    <w:rsid w:val="00101CD4"/>
    <w:rsid w:val="00281AD9"/>
    <w:rsid w:val="002A3C63"/>
    <w:rsid w:val="003734D1"/>
    <w:rsid w:val="004051FA"/>
    <w:rsid w:val="004134A3"/>
    <w:rsid w:val="00434225"/>
    <w:rsid w:val="004564CA"/>
    <w:rsid w:val="00501AF7"/>
    <w:rsid w:val="00552504"/>
    <w:rsid w:val="0056187C"/>
    <w:rsid w:val="005841A9"/>
    <w:rsid w:val="005F7E71"/>
    <w:rsid w:val="006624C5"/>
    <w:rsid w:val="00694FAC"/>
    <w:rsid w:val="00772F94"/>
    <w:rsid w:val="0079666F"/>
    <w:rsid w:val="00804616"/>
    <w:rsid w:val="00846F48"/>
    <w:rsid w:val="009C67F5"/>
    <w:rsid w:val="009E788F"/>
    <w:rsid w:val="00AF3FE1"/>
    <w:rsid w:val="00B06A90"/>
    <w:rsid w:val="00B20399"/>
    <w:rsid w:val="00BF4668"/>
    <w:rsid w:val="00C947AE"/>
    <w:rsid w:val="00CB65BD"/>
    <w:rsid w:val="00DC242D"/>
    <w:rsid w:val="00DD74A2"/>
    <w:rsid w:val="00EC0073"/>
    <w:rsid w:val="00EE327C"/>
    <w:rsid w:val="00E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6BEEEF"/>
  <w15:chartTrackingRefBased/>
  <w15:docId w15:val="{F1A6AD8C-3D15-4664-BF67-F14B695B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DefaultParagraphFont"/>
    <w:uiPriority w:val="99"/>
    <w:unhideWhenUsed/>
    <w:rsid w:val="0056187C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urtHR@yuba.courts.c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uba.courts.ca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urray\AppData\Roaming\Microsoft\Templates\Simple%20Flyer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52</TotalTime>
  <Pages>1</Pages>
  <Words>228</Words>
  <Characters>1332</Characters>
  <Application>Microsoft Office Word</Application>
  <DocSecurity>0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Murray</dc:creator>
  <cp:lastModifiedBy>Catherine Murray</cp:lastModifiedBy>
  <cp:revision>3</cp:revision>
  <dcterms:created xsi:type="dcterms:W3CDTF">2024-09-13T18:00:00Z</dcterms:created>
  <dcterms:modified xsi:type="dcterms:W3CDTF">2024-09-26T16:22:00Z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GrammarlyDocumentId">
    <vt:lpwstr>fd2d5d4f-0899-40fa-a973-5448f4fe7f64</vt:lpwstr>
  </property>
</Properties>
</file>